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D" w:rsidRPr="003F12A0" w:rsidRDefault="003F12A0" w:rsidP="003F12A0">
      <w:pPr>
        <w:spacing w:after="0" w:line="280" w:lineRule="exact"/>
        <w:ind w:left="-709"/>
        <w:jc w:val="right"/>
        <w:rPr>
          <w:rFonts w:ascii="Times New Roman" w:hAnsi="Times New Roman"/>
          <w:sz w:val="24"/>
          <w:szCs w:val="24"/>
        </w:rPr>
      </w:pPr>
      <w:r w:rsidRPr="003F12A0">
        <w:rPr>
          <w:rFonts w:ascii="Times New Roman" w:hAnsi="Times New Roman"/>
          <w:sz w:val="24"/>
          <w:szCs w:val="24"/>
        </w:rPr>
        <w:t xml:space="preserve"> </w:t>
      </w:r>
      <w:r w:rsidR="00C74C2D" w:rsidRPr="003F12A0">
        <w:rPr>
          <w:rFonts w:ascii="Times New Roman" w:hAnsi="Times New Roman"/>
          <w:sz w:val="24"/>
          <w:szCs w:val="24"/>
        </w:rPr>
        <w:t>(март 2020 г.)</w:t>
      </w:r>
    </w:p>
    <w:p w:rsidR="00C74C2D" w:rsidRPr="003F12A0" w:rsidRDefault="00C74C2D" w:rsidP="003F12A0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3F12A0">
        <w:rPr>
          <w:rFonts w:ascii="Times New Roman" w:hAnsi="Times New Roman"/>
          <w:b/>
          <w:sz w:val="24"/>
          <w:szCs w:val="24"/>
        </w:rPr>
        <w:t xml:space="preserve">Социально-экономическое состояние регионов </w:t>
      </w:r>
      <w:r w:rsidRPr="003F12A0">
        <w:rPr>
          <w:rFonts w:ascii="Times New Roman" w:hAnsi="Times New Roman"/>
          <w:b/>
          <w:sz w:val="24"/>
          <w:szCs w:val="24"/>
        </w:rPr>
        <w:br/>
        <w:t xml:space="preserve">и перспективы их развития </w:t>
      </w:r>
    </w:p>
    <w:p w:rsidR="00C74C2D" w:rsidRPr="003F12A0" w:rsidRDefault="00C74C2D" w:rsidP="003F12A0">
      <w:pPr>
        <w:spacing w:after="0" w:line="280" w:lineRule="exact"/>
        <w:ind w:left="-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  <w:r w:rsidRPr="003F12A0">
        <w:rPr>
          <w:rFonts w:ascii="Times New Roman" w:hAnsi="Times New Roman"/>
          <w:sz w:val="24"/>
          <w:szCs w:val="24"/>
        </w:rPr>
        <w:t>Как отмечал А.Г.Лукашенко: «</w:t>
      </w:r>
      <w:r w:rsidRPr="003F12A0">
        <w:rPr>
          <w:rFonts w:ascii="Times New Roman" w:hAnsi="Times New Roman"/>
          <w:b/>
          <w:sz w:val="24"/>
          <w:szCs w:val="24"/>
        </w:rPr>
        <w:t xml:space="preserve">Фундамент успешного развития государства – сильная экономика, </w:t>
      </w:r>
      <w:proofErr w:type="gramStart"/>
      <w:r w:rsidRPr="003F12A0">
        <w:rPr>
          <w:rFonts w:ascii="Times New Roman" w:hAnsi="Times New Roman"/>
          <w:b/>
          <w:sz w:val="24"/>
          <w:szCs w:val="24"/>
        </w:rPr>
        <w:t>поэтому</w:t>
      </w:r>
      <w:proofErr w:type="gramEnd"/>
      <w:r w:rsidRPr="003F12A0">
        <w:rPr>
          <w:rFonts w:ascii="Times New Roman" w:hAnsi="Times New Roman"/>
          <w:b/>
          <w:sz w:val="24"/>
          <w:szCs w:val="24"/>
        </w:rPr>
        <w:t xml:space="preserve"> прежде всего необходимо развивать экономику регионов</w:t>
      </w:r>
      <w:r w:rsidRPr="003F12A0">
        <w:rPr>
          <w:rFonts w:ascii="Times New Roman" w:hAnsi="Times New Roman"/>
          <w:sz w:val="24"/>
          <w:szCs w:val="24"/>
        </w:rPr>
        <w:t xml:space="preserve">, </w:t>
      </w:r>
      <w:r w:rsidRPr="003F12A0">
        <w:rPr>
          <w:rFonts w:ascii="Times New Roman" w:hAnsi="Times New Roman"/>
          <w:b/>
          <w:sz w:val="24"/>
          <w:szCs w:val="24"/>
        </w:rPr>
        <w:t>создавать там рабочие места с достойным уровнем зарплаты</w:t>
      </w:r>
      <w:r w:rsidRPr="003F12A0">
        <w:rPr>
          <w:rFonts w:ascii="Times New Roman" w:hAnsi="Times New Roman"/>
          <w:sz w:val="24"/>
          <w:szCs w:val="24"/>
        </w:rPr>
        <w:t>».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 w:rsidRPr="003F12A0">
        <w:rPr>
          <w:rFonts w:ascii="Times New Roman" w:hAnsi="Times New Roman"/>
          <w:sz w:val="24"/>
          <w:szCs w:val="24"/>
        </w:rPr>
        <w:t xml:space="preserve">И Беларусь однозначно преуспела в данном направлении.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F12A0">
        <w:rPr>
          <w:rFonts w:ascii="Times New Roman" w:hAnsi="Times New Roman"/>
          <w:sz w:val="24"/>
          <w:szCs w:val="24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 w:rsidRPr="003F12A0">
        <w:rPr>
          <w:rFonts w:ascii="Times New Roman" w:hAnsi="Times New Roman"/>
          <w:b/>
          <w:sz w:val="24"/>
          <w:szCs w:val="24"/>
        </w:rPr>
        <w:t>Индекс человеческого развития</w:t>
      </w:r>
      <w:r w:rsidRPr="003F12A0">
        <w:rPr>
          <w:rFonts w:ascii="Times New Roman" w:hAnsi="Times New Roman"/>
          <w:sz w:val="24"/>
          <w:szCs w:val="24"/>
        </w:rPr>
        <w:t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</w:t>
      </w:r>
      <w:proofErr w:type="gramStart"/>
      <w:r w:rsidRPr="003F12A0">
        <w:rPr>
          <w:rFonts w:ascii="Times New Roman" w:hAnsi="Times New Roman"/>
          <w:sz w:val="24"/>
          <w:szCs w:val="24"/>
        </w:rPr>
        <w:t>ии ОО</w:t>
      </w:r>
      <w:proofErr w:type="gramEnd"/>
      <w:r w:rsidRPr="003F12A0">
        <w:rPr>
          <w:rFonts w:ascii="Times New Roman" w:hAnsi="Times New Roman"/>
          <w:sz w:val="24"/>
          <w:szCs w:val="24"/>
        </w:rPr>
        <w:t xml:space="preserve">Н. По </w:t>
      </w:r>
      <w:r w:rsidRPr="003F12A0">
        <w:rPr>
          <w:rFonts w:ascii="Times New Roman" w:hAnsi="Times New Roman"/>
          <w:b/>
          <w:sz w:val="24"/>
          <w:szCs w:val="24"/>
        </w:rPr>
        <w:t>показателям достижения странами Целей устойчивого развития</w:t>
      </w:r>
      <w:r w:rsidRPr="003F12A0">
        <w:rPr>
          <w:rFonts w:ascii="Times New Roman" w:hAnsi="Times New Roman"/>
          <w:sz w:val="24"/>
          <w:szCs w:val="24"/>
        </w:rPr>
        <w:t xml:space="preserve"> республика находится на 23 месте (77,4 балла из 100), что выше средней оценки по региону Восточной Европы и Центральной Азии. В </w:t>
      </w:r>
      <w:r w:rsidRPr="003F12A0">
        <w:rPr>
          <w:rFonts w:ascii="Times New Roman" w:hAnsi="Times New Roman"/>
          <w:b/>
          <w:sz w:val="24"/>
          <w:szCs w:val="24"/>
        </w:rPr>
        <w:t>общем рейтинге национального благосостояния</w:t>
      </w:r>
      <w:r w:rsidRPr="003F12A0">
        <w:rPr>
          <w:rFonts w:ascii="Times New Roman" w:hAnsi="Times New Roman"/>
          <w:sz w:val="24"/>
          <w:szCs w:val="24"/>
        </w:rPr>
        <w:t xml:space="preserve"> за 2019 год Беларусь расположилась на 73 месте </w:t>
      </w:r>
      <w:r w:rsidRPr="003F12A0">
        <w:rPr>
          <w:rFonts w:ascii="Times New Roman" w:hAnsi="Times New Roman"/>
          <w:sz w:val="24"/>
          <w:szCs w:val="24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прогнозных и программных документов на республиканском и региональном уровнях.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D51F97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во исполнение поручений Главы государства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В рамках выполнения поручения Главы государства по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ускоренному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социально-экономическому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развитию 11 городов с численностью населения свыше 80 тыс. человек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</w:t>
      </w:r>
      <w:bookmarkStart w:id="0" w:name="_GoBack"/>
      <w:bookmarkEnd w:id="0"/>
      <w:r w:rsidRPr="003F12A0">
        <w:rPr>
          <w:rFonts w:ascii="Times New Roman" w:hAnsi="Times New Roman"/>
          <w:spacing w:val="-6"/>
          <w:sz w:val="24"/>
          <w:szCs w:val="24"/>
        </w:rPr>
        <w:t xml:space="preserve">тративно-территориальных единиц (далее – АТЕ) разработаны и приняты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Комплексные планы ускоренного развития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данных территорий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на период до 2020 года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74C2D" w:rsidRPr="003F12A0" w:rsidRDefault="00C74C2D" w:rsidP="003F12A0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12A0">
        <w:rPr>
          <w:rFonts w:ascii="Times New Roman" w:hAnsi="Times New Roman"/>
          <w:b/>
          <w:sz w:val="24"/>
          <w:szCs w:val="24"/>
          <w:u w:val="single"/>
        </w:rPr>
        <w:t>Социально-экономическое состояние регионов в 2019 году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D51F97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Более половины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ВВП страны </w:t>
      </w:r>
      <w:r w:rsidRPr="003F12A0">
        <w:rPr>
          <w:rFonts w:ascii="Times New Roman" w:hAnsi="Times New Roman"/>
          <w:spacing w:val="-6"/>
          <w:sz w:val="24"/>
          <w:szCs w:val="24"/>
        </w:rPr>
        <w:t>(52,9%) формируют 3 региона: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C74C2D" w:rsidRPr="003F12A0" w:rsidRDefault="00C74C2D" w:rsidP="003F12A0">
      <w:pPr>
        <w:spacing w:after="0" w:line="280" w:lineRule="exact"/>
        <w:ind w:left="-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proofErr w:type="spellStart"/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Справочно</w:t>
      </w:r>
      <w:proofErr w:type="spellEnd"/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.</w:t>
      </w:r>
    </w:p>
    <w:p w:rsidR="00C74C2D" w:rsidRPr="003F12A0" w:rsidRDefault="00C74C2D" w:rsidP="003F12A0">
      <w:pPr>
        <w:spacing w:after="0" w:line="280" w:lineRule="exact"/>
        <w:ind w:left="-709" w:firstLine="709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i/>
          <w:spacing w:val="-6"/>
          <w:sz w:val="24"/>
          <w:szCs w:val="24"/>
        </w:rPr>
        <w:t xml:space="preserve">Удельный вес Брестской области в ВВП – 9,4%, Витебской – 7,5%, Гродненской – 8,2%, Могилевской – 6,9%. </w:t>
      </w:r>
    </w:p>
    <w:p w:rsidR="00C74C2D" w:rsidRPr="003F12A0" w:rsidRDefault="00C74C2D" w:rsidP="003F12A0">
      <w:pPr>
        <w:spacing w:after="120" w:line="280" w:lineRule="exact"/>
        <w:ind w:left="-709" w:firstLine="709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i/>
          <w:spacing w:val="-6"/>
          <w:sz w:val="24"/>
          <w:szCs w:val="24"/>
        </w:rPr>
        <w:t>15,1% – нераспределенная часть ВВП.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lastRenderedPageBreak/>
        <w:t xml:space="preserve">Это обусловлено сложившейся структурой экономики регионов и динамикой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валового регионального продукта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(далее – ВРП).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По итогам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2019 года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рост ВРП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достигнут в Минской области (104,4% к 2018 году), Брестской области (102,8%),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инске (101,2%) и Могилевской области (100,5%). В Витебской и Гомельской 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областях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ВРП сложился на уровне предыдущего года, в Гродненской области допущено падение ВРП до 99,6% к 2018 году.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горнодобыче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и падения мировых цен на сырьевые ресурсы, усиления конкуренции на основных рынках сбыта.</w:t>
      </w:r>
      <w:r w:rsidR="00D51F97"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spacing w:val="-6"/>
          <w:sz w:val="24"/>
          <w:szCs w:val="24"/>
        </w:rPr>
        <w:t>Основная доля ВРП формируется предприятиями промышленного комплекса.</w:t>
      </w:r>
    </w:p>
    <w:p w:rsidR="00C74C2D" w:rsidRPr="003F12A0" w:rsidRDefault="00C74C2D" w:rsidP="003F12A0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Промышленность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.Ш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клове, г.Добруше, г.Светлогорске.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В республиканском разделении труда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основными индустриальными регионами </w:t>
      </w:r>
      <w:r w:rsidRPr="003F12A0">
        <w:rPr>
          <w:rFonts w:ascii="Times New Roman" w:hAnsi="Times New Roman"/>
          <w:spacing w:val="-6"/>
          <w:sz w:val="24"/>
          <w:szCs w:val="24"/>
        </w:rPr>
        <w:t>являются Гомельская (за 2019 год – 20,6% объема промышленного производства страны), Минская (19,6%), Витебская (14,3%) области и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>инск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Основным видом деятельности является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обрабатывающая промышленность</w:t>
      </w:r>
      <w:r w:rsidRPr="003F12A0">
        <w:rPr>
          <w:rFonts w:ascii="Times New Roman" w:hAnsi="Times New Roman"/>
          <w:spacing w:val="-6"/>
          <w:sz w:val="24"/>
          <w:szCs w:val="24"/>
        </w:rPr>
        <w:t>, которая формирует от 15,1% ВРП в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инске до 40,6% – в Минской области. В 2019 году отрасль внесла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положительный вклад в ВРП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во всех регионах, кроме Витебской области («минус» 0,5%) и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>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C74C2D" w:rsidRPr="003F12A0" w:rsidRDefault="00C74C2D" w:rsidP="003F12A0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</w:pP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По итогам прошлого года </w:t>
      </w:r>
      <w:r w:rsidRPr="003F12A0">
        <w:rPr>
          <w:rFonts w:ascii="Times New Roman" w:hAnsi="Times New Roman"/>
          <w:b/>
          <w:spacing w:val="-6"/>
          <w:sz w:val="24"/>
          <w:szCs w:val="24"/>
          <w:shd w:val="clear" w:color="auto" w:fill="FFFFFF"/>
          <w:lang w:eastAsia="ru-RU"/>
        </w:rPr>
        <w:t>положительное влияние на формирование ВРП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 в Брестской, Гомельской, Гродненской, Минской областях и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инске оказали предприятия по </w:t>
      </w:r>
      <w:r w:rsidRPr="003F12A0">
        <w:rPr>
          <w:rFonts w:ascii="Times New Roman" w:hAnsi="Times New Roman"/>
          <w:b/>
          <w:spacing w:val="-6"/>
          <w:sz w:val="24"/>
          <w:szCs w:val="24"/>
          <w:shd w:val="clear" w:color="auto" w:fill="FFFFFF"/>
          <w:lang w:eastAsia="ru-RU"/>
        </w:rPr>
        <w:t>производству продуктов питания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 w:rsidRPr="003F12A0">
        <w:rPr>
          <w:rFonts w:ascii="Times New Roman" w:hAnsi="Times New Roman"/>
          <w:b/>
          <w:spacing w:val="-6"/>
          <w:sz w:val="24"/>
          <w:szCs w:val="24"/>
          <w:shd w:val="clear" w:color="auto" w:fill="FFFFFF"/>
          <w:lang w:eastAsia="ru-RU"/>
        </w:rPr>
        <w:t>рост выпуска продукции из дерева и бумаги во всех регионах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 w:rsidRPr="003F12A0">
        <w:rPr>
          <w:rFonts w:ascii="Times New Roman" w:hAnsi="Times New Roman"/>
          <w:b/>
          <w:spacing w:val="-6"/>
          <w:sz w:val="24"/>
          <w:szCs w:val="24"/>
          <w:shd w:val="clear" w:color="auto" w:fill="FFFFFF"/>
          <w:lang w:eastAsia="ru-RU"/>
        </w:rPr>
        <w:t>производство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 резиновых и пластмассовых изделий, </w:t>
      </w:r>
      <w:r w:rsidRPr="003F12A0">
        <w:rPr>
          <w:rFonts w:ascii="Times New Roman" w:hAnsi="Times New Roman"/>
          <w:b/>
          <w:spacing w:val="-6"/>
          <w:sz w:val="24"/>
          <w:szCs w:val="24"/>
          <w:shd w:val="clear" w:color="auto" w:fill="FFFFFF"/>
          <w:lang w:eastAsia="ru-RU"/>
        </w:rPr>
        <w:t>прочих неметаллических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 минеральных продуктов.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  <w:lang w:eastAsia="ru-RU"/>
        </w:rPr>
        <w:t xml:space="preserve">Также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следует отметить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высокие темпы роста </w:t>
      </w:r>
      <w:r w:rsidRPr="003F12A0">
        <w:rPr>
          <w:rFonts w:ascii="Times New Roman" w:hAnsi="Times New Roman"/>
          <w:spacing w:val="-6"/>
          <w:sz w:val="24"/>
          <w:szCs w:val="24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3E6CF2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В целом в 2019 году отмечается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 рост промышленного производства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в 4 областях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C74C2D" w:rsidRPr="003F12A0" w:rsidRDefault="00C74C2D" w:rsidP="003F12A0">
      <w:pPr>
        <w:spacing w:before="120" w:after="0" w:line="280" w:lineRule="exact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Сельское хозяйство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3F12A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Сельскому хозяйству Республики Беларусь </w:t>
      </w:r>
      <w:r w:rsidRPr="003F12A0">
        <w:rPr>
          <w:rFonts w:ascii="Times New Roman" w:hAnsi="Times New Roman"/>
          <w:iCs/>
          <w:spacing w:val="-4"/>
          <w:sz w:val="24"/>
          <w:szCs w:val="24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 w:rsidRPr="003F12A0">
        <w:rPr>
          <w:rFonts w:ascii="Times New Roman" w:hAnsi="Times New Roman"/>
          <w:b/>
          <w:iCs/>
          <w:spacing w:val="-4"/>
          <w:sz w:val="24"/>
          <w:szCs w:val="24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 w:rsidRPr="003F12A0">
        <w:rPr>
          <w:rFonts w:ascii="Times New Roman" w:hAnsi="Times New Roman"/>
          <w:iCs/>
          <w:spacing w:val="-4"/>
          <w:sz w:val="24"/>
          <w:szCs w:val="24"/>
        </w:rPr>
        <w:t>».</w:t>
      </w:r>
      <w:r w:rsidRPr="003F12A0">
        <w:rPr>
          <w:rFonts w:ascii="Times New Roman" w:hAnsi="Times New Roman"/>
          <w:color w:val="323130"/>
          <w:sz w:val="24"/>
          <w:szCs w:val="24"/>
          <w:shd w:val="clear" w:color="auto" w:fill="FFFFFF"/>
        </w:rPr>
        <w:t xml:space="preserve"> </w:t>
      </w:r>
    </w:p>
    <w:p w:rsidR="00D51F97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F12A0">
        <w:rPr>
          <w:rFonts w:ascii="Times New Roman" w:hAnsi="Times New Roman"/>
          <w:sz w:val="24"/>
          <w:szCs w:val="24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sz w:val="24"/>
          <w:szCs w:val="24"/>
        </w:rPr>
        <w:t>Основные производители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сельскохозяйственной продукции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в стране – хозяйства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Минской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(24,8% республиканского объема),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Брестской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(19,4%) и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Гродненской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(16,6%) областей.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sz w:val="24"/>
          <w:szCs w:val="24"/>
        </w:rPr>
        <w:lastRenderedPageBreak/>
        <w:t xml:space="preserve">Лидером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по производству (выращиванию)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скота и птицы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является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Минская область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sz w:val="24"/>
          <w:szCs w:val="24"/>
        </w:rPr>
        <w:t>Минская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Брестская области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являются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лидерами в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производстве молока</w:t>
      </w:r>
      <w:r w:rsidRPr="003F12A0">
        <w:rPr>
          <w:rFonts w:ascii="Times New Roman" w:hAnsi="Times New Roman"/>
          <w:spacing w:val="-6"/>
          <w:sz w:val="24"/>
          <w:szCs w:val="24"/>
        </w:rPr>
        <w:t>: на их долю по итогам 2019 года приходится 49,6% республиканского объема.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Наиболее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высокие результаты в животноводстве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достигнуты в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Брестской области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: производство этой продукции в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сельхозорганизациях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сельхозорганизации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Минской (на 2,8% к 2018 году) и Гродненской (на 0,9%) областей.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Наличие высокопродуктивных земель в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Брестской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Гродненской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Минской </w:t>
      </w:r>
      <w:proofErr w:type="gramStart"/>
      <w:r w:rsidRPr="003F12A0">
        <w:rPr>
          <w:rFonts w:ascii="Times New Roman" w:hAnsi="Times New Roman"/>
          <w:b/>
          <w:spacing w:val="-6"/>
          <w:sz w:val="24"/>
          <w:szCs w:val="24"/>
        </w:rPr>
        <w:t>областях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создает условия для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опережающего развития растениеводства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. По итогам 2019 года в этих 3 регионах произведено </w:t>
      </w:r>
      <w:r w:rsidRPr="003F12A0">
        <w:rPr>
          <w:rFonts w:ascii="Times New Roman" w:hAnsi="Times New Roman"/>
          <w:spacing w:val="-6"/>
          <w:sz w:val="24"/>
          <w:szCs w:val="24"/>
        </w:rPr>
        <w:br/>
        <w:t>67,5% валового сбора картофеля, 63,1% – зерновых и зернобобовых культур, 57,9% – овощей.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В результате принятых мер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по итогам за прошедший год производство продукции сельского хозяйства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увеличилось во всех областях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кроме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Гомельской. «Год был хороший. Не 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идеальный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– хороший», – отметил Глава государства.</w:t>
      </w:r>
    </w:p>
    <w:p w:rsidR="00C74C2D" w:rsidRPr="003F12A0" w:rsidRDefault="00C74C2D" w:rsidP="003F12A0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Жилищное строительство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kern w:val="28"/>
          <w:sz w:val="24"/>
          <w:szCs w:val="24"/>
        </w:rPr>
      </w:pPr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 w:rsidRPr="003F12A0">
        <w:rPr>
          <w:rFonts w:ascii="Times New Roman" w:hAnsi="Times New Roman"/>
          <w:b/>
          <w:spacing w:val="-6"/>
          <w:kern w:val="28"/>
          <w:sz w:val="24"/>
          <w:szCs w:val="24"/>
        </w:rPr>
        <w:t>введено в эксплуатацию</w:t>
      </w:r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</w:t>
      </w:r>
      <w:r w:rsidRPr="003F12A0">
        <w:rPr>
          <w:rFonts w:ascii="Times New Roman" w:hAnsi="Times New Roman"/>
          <w:spacing w:val="-6"/>
          <w:kern w:val="28"/>
          <w:sz w:val="24"/>
          <w:szCs w:val="24"/>
        </w:rPr>
        <w:br/>
        <w:t xml:space="preserve">4 061,9 </w:t>
      </w:r>
      <w:proofErr w:type="spellStart"/>
      <w:proofErr w:type="gramStart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>тыс</w:t>
      </w:r>
      <w:proofErr w:type="spellEnd"/>
      <w:proofErr w:type="gramEnd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кв.м </w:t>
      </w:r>
      <w:r w:rsidRPr="003F12A0">
        <w:rPr>
          <w:rFonts w:ascii="Times New Roman" w:hAnsi="Times New Roman"/>
          <w:b/>
          <w:spacing w:val="-6"/>
          <w:kern w:val="28"/>
          <w:sz w:val="24"/>
          <w:szCs w:val="24"/>
        </w:rPr>
        <w:t>жилья</w:t>
      </w:r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(102,4% к 2018 году). Наибольшие объемы жилья введены в </w:t>
      </w:r>
      <w:proofErr w:type="gramStart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>Брестской</w:t>
      </w:r>
      <w:proofErr w:type="gramEnd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(16,9% к республиканскому объему) и Минской (31,1%) областях.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kern w:val="28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kern w:val="28"/>
          <w:sz w:val="24"/>
          <w:szCs w:val="24"/>
        </w:rPr>
        <w:t>С государственной поддержкой</w:t>
      </w:r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в республике введено в эксплуатацию 1 165 </w:t>
      </w:r>
      <w:proofErr w:type="spellStart"/>
      <w:proofErr w:type="gramStart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>тыс</w:t>
      </w:r>
      <w:proofErr w:type="spellEnd"/>
      <w:proofErr w:type="gramEnd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кв.м жилья (116,6% к 2018 году); в наибольших объемах – в Брестской (24,8%), Минской (18,4%) и Гомельской (15,9%) областях.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kern w:val="28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kern w:val="28"/>
          <w:sz w:val="24"/>
          <w:szCs w:val="24"/>
        </w:rPr>
        <w:t>Индивидуальных жилых домов</w:t>
      </w:r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за прошлый год введено в эксплуатацию 1 770,9 </w:t>
      </w:r>
      <w:proofErr w:type="spellStart"/>
      <w:proofErr w:type="gramStart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>тыс</w:t>
      </w:r>
      <w:proofErr w:type="spellEnd"/>
      <w:proofErr w:type="gramEnd"/>
      <w:r w:rsidRPr="003F12A0">
        <w:rPr>
          <w:rFonts w:ascii="Times New Roman" w:hAnsi="Times New Roman"/>
          <w:spacing w:val="-6"/>
          <w:kern w:val="28"/>
          <w:sz w:val="24"/>
          <w:szCs w:val="24"/>
        </w:rPr>
        <w:t xml:space="preserve"> кв.м (102,5% к 2018 году). Наибольшие объемы такого жилья также введены в Минской (44,6%), Брестской (18,3%) и Гомельской (11,6%) областях.</w:t>
      </w:r>
    </w:p>
    <w:p w:rsidR="00D51F97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Все это способствовало улучшению жилищных условий граждан, в первую очередь многодетных семей.</w:t>
      </w:r>
    </w:p>
    <w:p w:rsidR="00C74C2D" w:rsidRPr="003F12A0" w:rsidRDefault="00C74C2D" w:rsidP="003F12A0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Торговля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По итогам 2019 года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оптовая и розничная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торговля </w:t>
      </w:r>
      <w:r w:rsidRPr="003F12A0">
        <w:rPr>
          <w:rFonts w:ascii="Times New Roman" w:hAnsi="Times New Roman"/>
          <w:spacing w:val="-6"/>
          <w:sz w:val="24"/>
          <w:szCs w:val="24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В основном это обусловлено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наращиванием объемов розничного товарооборота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В объеме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 xml:space="preserve"> розничного товарооборота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страны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наибольшая доля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приходится на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г</w:t>
      </w:r>
      <w:proofErr w:type="gramStart"/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инск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(31,2%). За ним следуют Минская (14,9%), Брестская (12,4%) и Гомельская (11,7%) области. </w:t>
      </w:r>
      <w:r w:rsidRPr="003F12A0">
        <w:rPr>
          <w:rFonts w:ascii="Times New Roman" w:hAnsi="Times New Roman"/>
          <w:spacing w:val="-6"/>
          <w:sz w:val="24"/>
          <w:szCs w:val="24"/>
        </w:rPr>
        <w:t>Удельный вес Витебской области – 10,8%, Гродненской – 10,3%, Могилевской – 8,7%.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«Важно сохранить село и дать ему новую жизнь»</w:t>
      </w:r>
      <w:r w:rsidRPr="003F12A0">
        <w:rPr>
          <w:rFonts w:ascii="Times New Roman" w:hAnsi="Times New Roman"/>
          <w:spacing w:val="-6"/>
          <w:sz w:val="24"/>
          <w:szCs w:val="24"/>
        </w:rPr>
        <w:t>,</w:t>
      </w:r>
      <w:r w:rsidRPr="003F12A0">
        <w:rPr>
          <w:rFonts w:ascii="Times New Roman" w:hAnsi="Times New Roman"/>
          <w:sz w:val="24"/>
          <w:szCs w:val="24"/>
        </w:rPr>
        <w:t> </w:t>
      </w:r>
      <w:r w:rsidRPr="003F12A0">
        <w:rPr>
          <w:rFonts w:ascii="Times New Roman" w:hAnsi="Times New Roman"/>
          <w:spacing w:val="-6"/>
          <w:sz w:val="24"/>
          <w:szCs w:val="24"/>
        </w:rPr>
        <w:t>– отмечал Глава государства.</w:t>
      </w:r>
    </w:p>
    <w:p w:rsidR="00C74C2D" w:rsidRPr="003F12A0" w:rsidRDefault="00C74C2D" w:rsidP="003F12A0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Инвестиционная деятельность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Значительным стимулом для поднятия экономики регионов и, соответственно, всей Республики Беларусь являются инвестиции. 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Так, в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 w:rsidRPr="003F12A0">
        <w:rPr>
          <w:rFonts w:ascii="Times New Roman" w:hAnsi="Times New Roman"/>
          <w:b/>
          <w:spacing w:val="-6"/>
          <w:sz w:val="24"/>
          <w:szCs w:val="24"/>
          <w:shd w:val="clear" w:color="auto" w:fill="FFFFFF"/>
        </w:rPr>
        <w:lastRenderedPageBreak/>
        <w:t>Глава государства А.Г.Лукашенко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подчеркнул, что «</w:t>
      </w:r>
      <w:r w:rsidRPr="003F12A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</w:t>
      </w:r>
      <w:proofErr w:type="gramEnd"/>
      <w:r w:rsidRPr="003F12A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экспортных рынков, кардинальное изменение ситуации в демографии</w:t>
      </w:r>
      <w:r w:rsidRPr="003F12A0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».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По итогам 2019 года обеспечен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рост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инвестиций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среднереспубликанский</w:t>
      </w:r>
      <w:proofErr w:type="spellEnd"/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темп (105,7%): в 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Брестской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(106%), Витебской (106,2%), Гомельской (115,6%), Минской (112,6%), Могилевской (109,8%).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На привлечение инвестиций и трансформацию республики в настоящую </w:t>
      </w:r>
      <w:r w:rsidRPr="003F12A0">
        <w:rPr>
          <w:rFonts w:ascii="Times New Roman" w:hAnsi="Times New Roman"/>
          <w:spacing w:val="-6"/>
          <w:sz w:val="24"/>
          <w:szCs w:val="24"/>
          <w:lang w:val="en-US"/>
        </w:rPr>
        <w:t>IT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-страну направлен подписанный Главой государства А.Г.Лукашенко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Декрет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от 21 декабря 2017 г.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№ 8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«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О развитии цифровой экономики</w:t>
      </w:r>
      <w:r w:rsidRPr="003F12A0">
        <w:rPr>
          <w:rFonts w:ascii="Times New Roman" w:hAnsi="Times New Roman"/>
          <w:spacing w:val="-6"/>
          <w:sz w:val="24"/>
          <w:szCs w:val="24"/>
        </w:rPr>
        <w:t>» (далее – Декрет).</w:t>
      </w:r>
      <w:r w:rsidRPr="003F12A0">
        <w:rPr>
          <w:rFonts w:ascii="Times New Roman" w:hAnsi="Times New Roman"/>
          <w:spacing w:val="-4"/>
          <w:sz w:val="24"/>
          <w:szCs w:val="24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 w:rsidRPr="003F12A0">
        <w:rPr>
          <w:rFonts w:ascii="Times New Roman" w:hAnsi="Times New Roman"/>
          <w:spacing w:val="-6"/>
          <w:sz w:val="24"/>
          <w:szCs w:val="24"/>
        </w:rPr>
        <w:t>–</w:t>
      </w:r>
      <w:r w:rsidRPr="003F12A0">
        <w:rPr>
          <w:rFonts w:ascii="Times New Roman" w:hAnsi="Times New Roman"/>
          <w:spacing w:val="-4"/>
          <w:sz w:val="24"/>
          <w:szCs w:val="24"/>
        </w:rPr>
        <w:t xml:space="preserve"> подчеркнул белорусский лидер.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основных преференциальных режимов</w:t>
      </w:r>
      <w:r w:rsidRPr="003F12A0">
        <w:rPr>
          <w:rFonts w:ascii="Times New Roman" w:hAnsi="Times New Roman"/>
          <w:spacing w:val="-6"/>
          <w:sz w:val="24"/>
          <w:szCs w:val="24"/>
        </w:rPr>
        <w:t>: свободные экономические зоны; особая экономическая зона «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Бремино-Орша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»; Китайско-Белорусский индустриальный парк «Великий камень»; Парк высоких технологий; средние, малые городские поселения, сельская местность;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Оршанский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район Витебской области; юго-восточный регион Могилевской области.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По итогам 2019 года регионами привлечено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1 227,4 </w:t>
      </w:r>
      <w:proofErr w:type="spellStart"/>
      <w:proofErr w:type="gramStart"/>
      <w:r w:rsidRPr="003F12A0">
        <w:rPr>
          <w:rFonts w:ascii="Times New Roman" w:hAnsi="Times New Roman"/>
          <w:b/>
          <w:spacing w:val="-6"/>
          <w:sz w:val="24"/>
          <w:szCs w:val="24"/>
        </w:rPr>
        <w:t>млн</w:t>
      </w:r>
      <w:proofErr w:type="spellEnd"/>
      <w:proofErr w:type="gramEnd"/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 долл. прямых иностранных инвестиций на чистой основе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>инск (614,8 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млн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долл., или 50,1% от объема в целом по стране), Минскую (281,3 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млн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долл., или 22,9%) и Могилевскую (104,5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млн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долл., или 8,5%) области.</w:t>
      </w:r>
    </w:p>
    <w:p w:rsidR="00C74C2D" w:rsidRPr="003F12A0" w:rsidRDefault="00C74C2D" w:rsidP="003F12A0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Предпринимательство и деловая активность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Наибольшая деловая активность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сохраняется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в г</w:t>
      </w:r>
      <w:proofErr w:type="gramStart"/>
      <w:r w:rsidRPr="003F12A0">
        <w:rPr>
          <w:rFonts w:ascii="Times New Roman" w:hAnsi="Times New Roman"/>
          <w:b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b/>
          <w:spacing w:val="-6"/>
          <w:sz w:val="24"/>
          <w:szCs w:val="24"/>
        </w:rPr>
        <w:t>инске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Минской области</w:t>
      </w:r>
      <w:r w:rsidRPr="003F12A0">
        <w:rPr>
          <w:rFonts w:ascii="Times New Roman" w:hAnsi="Times New Roman"/>
          <w:spacing w:val="-6"/>
          <w:sz w:val="24"/>
          <w:szCs w:val="24"/>
        </w:rPr>
        <w:t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C74C2D" w:rsidRPr="003F12A0" w:rsidRDefault="00C74C2D" w:rsidP="003F12A0">
      <w:pPr>
        <w:spacing w:after="0" w:line="228" w:lineRule="auto"/>
        <w:ind w:left="-709" w:right="-1"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инска составляет более 40%, в Минской области – около 32%.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На государственном уровне проводится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 работа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по стимулированию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развития малого и среднего предпринимательства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по следующим ключевым направлениям: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принятие регуляторных решений общесистемного характера, направленных на </w:t>
      </w: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 w:rsidRPr="003F1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оптимизацию уровня контроля со стороны государства, </w:t>
      </w: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формирование рациональной фискальной политики</w:t>
      </w:r>
      <w:r w:rsidRPr="003F1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;</w:t>
      </w:r>
    </w:p>
    <w:p w:rsidR="00C74C2D" w:rsidRPr="003F12A0" w:rsidRDefault="00C74C2D" w:rsidP="003F12A0">
      <w:pPr>
        <w:spacing w:after="0" w:line="240" w:lineRule="auto"/>
        <w:ind w:left="-709" w:right="-1"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Одним из основных инструментов поддержки малого и среднего предпринимательства в областях и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инске является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Государственная программа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«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Малое и среднее предпринимательство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в Республике Беларусь»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на 2016–2020 годы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3F12A0">
        <w:rPr>
          <w:rFonts w:ascii="Times New Roman" w:hAnsi="Times New Roman"/>
          <w:bCs/>
          <w:spacing w:val="-6"/>
          <w:sz w:val="24"/>
          <w:szCs w:val="24"/>
        </w:rPr>
        <w:t>В 2019 году Государственная программа дополнена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Комплексом мер по реализации первого этапа </w:t>
      </w:r>
      <w:r w:rsidRPr="003F12A0">
        <w:rPr>
          <w:rFonts w:ascii="Times New Roman" w:hAnsi="Times New Roman"/>
          <w:bCs/>
          <w:spacing w:val="-6"/>
          <w:sz w:val="24"/>
          <w:szCs w:val="24"/>
        </w:rPr>
        <w:t>Стратегии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C74C2D" w:rsidRPr="003F12A0" w:rsidRDefault="00C74C2D" w:rsidP="003F12A0">
      <w:pPr>
        <w:spacing w:after="0" w:line="240" w:lineRule="auto"/>
        <w:ind w:left="-709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 w:rsidRPr="003F12A0">
        <w:rPr>
          <w:rFonts w:ascii="Times New Roman" w:hAnsi="Times New Roman"/>
          <w:b/>
          <w:spacing w:val="-6"/>
          <w:sz w:val="24"/>
          <w:szCs w:val="24"/>
          <w:lang w:bidi="en-US"/>
        </w:rPr>
        <w:t>сеть субъектов инфраструктуры поддержки предпринимательства</w:t>
      </w:r>
      <w:r w:rsidR="00D51F97" w:rsidRPr="003F12A0">
        <w:rPr>
          <w:rFonts w:ascii="Times New Roman" w:hAnsi="Times New Roman"/>
          <w:spacing w:val="-6"/>
          <w:sz w:val="24"/>
          <w:szCs w:val="24"/>
          <w:lang w:bidi="en-US"/>
        </w:rPr>
        <w:t xml:space="preserve">. По состоянию на 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1 января 2020 г. в стране </w:t>
      </w:r>
      <w:r w:rsidRPr="003F12A0">
        <w:rPr>
          <w:rFonts w:ascii="Times New Roman" w:hAnsi="Times New Roman"/>
          <w:spacing w:val="-6"/>
          <w:sz w:val="24"/>
          <w:szCs w:val="24"/>
        </w:rPr>
        <w:lastRenderedPageBreak/>
        <w:t>действовало 109 центров поддержки предпринимательства и 26 инкубаторов малого предпринимательства.</w:t>
      </w:r>
    </w:p>
    <w:p w:rsidR="00C74C2D" w:rsidRPr="003F12A0" w:rsidRDefault="00C74C2D" w:rsidP="003F12A0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 w:rsidRPr="003F12A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привлекаются международные организации</w:t>
      </w:r>
      <w:r w:rsidRPr="003F1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C74C2D" w:rsidRPr="003F12A0" w:rsidRDefault="00C74C2D" w:rsidP="003F12A0">
      <w:pPr>
        <w:spacing w:after="12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pacing w:val="-6"/>
          <w:sz w:val="24"/>
          <w:szCs w:val="24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 w:rsidRPr="003F12A0">
        <w:rPr>
          <w:rFonts w:ascii="Times New Roman" w:hAnsi="Times New Roman"/>
          <w:sz w:val="24"/>
          <w:szCs w:val="24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 w:rsidRPr="003F12A0">
        <w:rPr>
          <w:rFonts w:ascii="Times New Roman" w:hAnsi="Times New Roman"/>
          <w:b/>
          <w:sz w:val="24"/>
          <w:szCs w:val="24"/>
          <w:shd w:val="clear" w:color="auto" w:fill="FFFFFF"/>
        </w:rPr>
        <w:t>полную свободу дали</w:t>
      </w:r>
      <w:r w:rsidRPr="003F12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12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(трудно найти такую страну): в течение дня зарегистрировался и </w:t>
      </w:r>
      <w:proofErr w:type="gramStart"/>
      <w:r w:rsidRPr="003F12A0">
        <w:rPr>
          <w:rFonts w:ascii="Times New Roman" w:hAnsi="Times New Roman"/>
          <w:b/>
          <w:sz w:val="24"/>
          <w:szCs w:val="24"/>
          <w:shd w:val="clear" w:color="auto" w:fill="FFFFFF"/>
        </w:rPr>
        <w:t>иди</w:t>
      </w:r>
      <w:proofErr w:type="gramEnd"/>
      <w:r w:rsidRPr="003F12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работай</w:t>
      </w:r>
      <w:r w:rsidRPr="003F12A0">
        <w:rPr>
          <w:rFonts w:ascii="Times New Roman" w:hAnsi="Times New Roman"/>
          <w:spacing w:val="-6"/>
          <w:sz w:val="24"/>
          <w:szCs w:val="24"/>
        </w:rPr>
        <w:t>».</w:t>
      </w:r>
    </w:p>
    <w:p w:rsidR="00C74C2D" w:rsidRPr="003F12A0" w:rsidRDefault="00C74C2D" w:rsidP="003F12A0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Внешнеэкономическая деятельность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F12A0">
        <w:rPr>
          <w:rFonts w:ascii="Times New Roman" w:hAnsi="Times New Roman"/>
          <w:spacing w:val="-4"/>
          <w:sz w:val="24"/>
          <w:szCs w:val="24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sz w:val="24"/>
          <w:szCs w:val="24"/>
        </w:rPr>
        <w:t>Экспорт товаров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в 2019 году в целом по стране составил</w:t>
      </w:r>
      <w:r w:rsidRPr="003F12A0">
        <w:rPr>
          <w:rFonts w:ascii="Times New Roman" w:hAnsi="Times New Roman"/>
          <w:spacing w:val="-6"/>
          <w:sz w:val="24"/>
          <w:szCs w:val="24"/>
        </w:rPr>
        <w:br/>
        <w:t xml:space="preserve">32,9 </w:t>
      </w:r>
      <w:proofErr w:type="spellStart"/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млрд</w:t>
      </w:r>
      <w:proofErr w:type="spellEnd"/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долл., или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97,1%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к 2018 году.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Наибольший удельный вес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в объеме экспорта товаров страны приходится на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г</w:t>
      </w:r>
      <w:proofErr w:type="gramStart"/>
      <w:r w:rsidRPr="003F12A0">
        <w:rPr>
          <w:rFonts w:ascii="Times New Roman" w:hAnsi="Times New Roman"/>
          <w:b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b/>
          <w:spacing w:val="-6"/>
          <w:sz w:val="24"/>
          <w:szCs w:val="24"/>
        </w:rPr>
        <w:t>инск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(34,7%),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Минскую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(22,6%) и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Гомельскую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(12,4%) области. Среди регионов 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 xml:space="preserve">рост экспорта товаров </w:t>
      </w:r>
      <w:r w:rsidRPr="003F12A0">
        <w:rPr>
          <w:rFonts w:ascii="Times New Roman" w:hAnsi="Times New Roman"/>
          <w:spacing w:val="-6"/>
          <w:sz w:val="24"/>
          <w:szCs w:val="24"/>
        </w:rPr>
        <w:t>в 2019 году зафиксирован в Брестской (109%), Минской (101,1%) и Могилевской (111,2%) областях.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F12A0">
        <w:rPr>
          <w:rFonts w:ascii="Times New Roman" w:hAnsi="Times New Roman"/>
          <w:b/>
          <w:spacing w:val="-6"/>
          <w:sz w:val="24"/>
          <w:szCs w:val="24"/>
        </w:rPr>
        <w:t>Важнейшими товарными позициями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древесно-волокнистые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3F12A0">
        <w:rPr>
          <w:rFonts w:ascii="Times New Roman" w:hAnsi="Times New Roman"/>
          <w:b/>
          <w:spacing w:val="-6"/>
          <w:sz w:val="24"/>
          <w:szCs w:val="24"/>
        </w:rPr>
        <w:t>Диверсификация экспорта, поиск новых рынков – вопрос первостепенной важности, вопрос выживания нашей страны</w:t>
      </w:r>
      <w:r w:rsidRPr="003F12A0">
        <w:rPr>
          <w:rFonts w:ascii="Times New Roman" w:hAnsi="Times New Roman"/>
          <w:spacing w:val="-6"/>
          <w:sz w:val="24"/>
          <w:szCs w:val="24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По итогам 2019 года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положительное сальдо внешней торговли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товарами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обеспечено в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Брестской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(840 </w:t>
      </w:r>
      <w:proofErr w:type="spellStart"/>
      <w:proofErr w:type="gramStart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млн</w:t>
      </w:r>
      <w:proofErr w:type="spellEnd"/>
      <w:proofErr w:type="gramEnd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долл.),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Гродненской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(386,8 </w:t>
      </w:r>
      <w:proofErr w:type="spellStart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млн</w:t>
      </w:r>
      <w:proofErr w:type="spellEnd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долл.),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Минской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(1 381,6 </w:t>
      </w:r>
      <w:proofErr w:type="spellStart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млн</w:t>
      </w:r>
      <w:proofErr w:type="spellEnd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долл.) и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Могилевской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(776,2 </w:t>
      </w:r>
      <w:proofErr w:type="spellStart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млн</w:t>
      </w:r>
      <w:proofErr w:type="spellEnd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долл.) областях.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sz w:val="24"/>
          <w:szCs w:val="24"/>
        </w:rPr>
        <w:t>Экспорт услуг</w:t>
      </w:r>
      <w:r w:rsidRPr="003F12A0">
        <w:rPr>
          <w:rFonts w:ascii="Times New Roman" w:hAnsi="Times New Roman"/>
          <w:spacing w:val="-6"/>
          <w:sz w:val="24"/>
          <w:szCs w:val="24"/>
        </w:rPr>
        <w:t xml:space="preserve"> в целом по республике за прошлый год составил 9,7 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млрд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долл. (109,3%), из них 57,9% приходится на г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3F12A0">
        <w:rPr>
          <w:rFonts w:ascii="Times New Roman" w:hAnsi="Times New Roman"/>
          <w:spacing w:val="-6"/>
          <w:sz w:val="24"/>
          <w:szCs w:val="24"/>
        </w:rPr>
        <w:t xml:space="preserve">инск (5,6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</w:rPr>
        <w:t>млрд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</w:rPr>
        <w:t xml:space="preserve"> долл., или 116,3%). 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В целом по стране сформировалось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положительное сальдо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</w:t>
      </w:r>
      <w:r w:rsidRPr="003F12A0">
        <w:rPr>
          <w:rFonts w:ascii="Times New Roman" w:eastAsia="Arial Unicode MS" w:hAnsi="Times New Roman"/>
          <w:b/>
          <w:spacing w:val="-6"/>
          <w:sz w:val="24"/>
          <w:szCs w:val="24"/>
        </w:rPr>
        <w:t>внешней торговли услугами</w:t>
      </w: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в размере 4,2 </w:t>
      </w:r>
      <w:proofErr w:type="spellStart"/>
      <w:proofErr w:type="gramStart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млрд</w:t>
      </w:r>
      <w:proofErr w:type="spellEnd"/>
      <w:proofErr w:type="gramEnd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 долл. 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2A0">
        <w:rPr>
          <w:rFonts w:ascii="Times New Roman" w:hAnsi="Times New Roman"/>
          <w:b/>
          <w:spacing w:val="-6"/>
          <w:sz w:val="24"/>
          <w:szCs w:val="24"/>
        </w:rPr>
        <w:t>В экспорте услуг преобладают</w:t>
      </w:r>
      <w:r w:rsidRPr="003F12A0">
        <w:rPr>
          <w:rFonts w:ascii="Times New Roman" w:hAnsi="Times New Roman"/>
          <w:spacing w:val="-6"/>
          <w:sz w:val="24"/>
          <w:szCs w:val="24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C74C2D" w:rsidRPr="003F12A0" w:rsidRDefault="00C74C2D" w:rsidP="003F12A0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spacing w:val="-6"/>
          <w:sz w:val="24"/>
          <w:szCs w:val="24"/>
        </w:rPr>
      </w:pPr>
      <w:r w:rsidRPr="003F12A0">
        <w:rPr>
          <w:rFonts w:ascii="Times New Roman" w:eastAsia="Arial Unicode MS" w:hAnsi="Times New Roman"/>
          <w:spacing w:val="-6"/>
          <w:sz w:val="24"/>
          <w:szCs w:val="24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импортозамещения</w:t>
      </w:r>
      <w:proofErr w:type="spellEnd"/>
      <w:r w:rsidRPr="003F12A0">
        <w:rPr>
          <w:rFonts w:ascii="Times New Roman" w:eastAsia="Arial Unicode MS" w:hAnsi="Times New Roman"/>
          <w:spacing w:val="-6"/>
          <w:sz w:val="24"/>
          <w:szCs w:val="24"/>
        </w:rPr>
        <w:t>. Привозные товарные позиции в основном представлены сырьем и материалами, не производимыми в республике.</w:t>
      </w:r>
    </w:p>
    <w:p w:rsidR="00C74C2D" w:rsidRPr="003F12A0" w:rsidRDefault="00C74C2D" w:rsidP="003F12A0">
      <w:pPr>
        <w:pStyle w:val="20"/>
        <w:shd w:val="clear" w:color="auto" w:fill="auto"/>
        <w:spacing w:after="0" w:line="240" w:lineRule="auto"/>
        <w:ind w:left="-709" w:firstLine="709"/>
        <w:rPr>
          <w:spacing w:val="-6"/>
          <w:sz w:val="24"/>
          <w:szCs w:val="24"/>
        </w:rPr>
      </w:pPr>
    </w:p>
    <w:p w:rsidR="00C74C2D" w:rsidRPr="003F12A0" w:rsidRDefault="00C74C2D" w:rsidP="003F12A0">
      <w:pPr>
        <w:pStyle w:val="150"/>
        <w:ind w:left="-709" w:firstLineChars="0" w:firstLine="0"/>
        <w:jc w:val="center"/>
        <w:rPr>
          <w:rFonts w:eastAsia="Times New Roman"/>
          <w:b/>
          <w:spacing w:val="-6"/>
          <w:sz w:val="24"/>
          <w:szCs w:val="24"/>
          <w:u w:val="single"/>
        </w:rPr>
      </w:pPr>
      <w:r w:rsidRPr="003F12A0">
        <w:rPr>
          <w:rFonts w:eastAsia="Times New Roman"/>
          <w:b/>
          <w:spacing w:val="-6"/>
          <w:sz w:val="24"/>
          <w:szCs w:val="24"/>
          <w:u w:val="single"/>
        </w:rPr>
        <w:t>Перспективы развития регионов страны</w:t>
      </w:r>
    </w:p>
    <w:p w:rsidR="00C74C2D" w:rsidRPr="003F12A0" w:rsidRDefault="00C74C2D" w:rsidP="003F12A0">
      <w:pPr>
        <w:pStyle w:val="150"/>
        <w:ind w:left="-709" w:firstLineChars="0" w:firstLine="709"/>
        <w:rPr>
          <w:rFonts w:eastAsia="Times New Roman"/>
          <w:spacing w:val="-6"/>
          <w:sz w:val="24"/>
          <w:szCs w:val="24"/>
        </w:rPr>
      </w:pPr>
      <w:r w:rsidRPr="003F12A0">
        <w:rPr>
          <w:spacing w:val="-6"/>
          <w:sz w:val="24"/>
          <w:szCs w:val="24"/>
        </w:rPr>
        <w:t xml:space="preserve">Согласно </w:t>
      </w:r>
      <w:r w:rsidRPr="003F12A0">
        <w:rPr>
          <w:sz w:val="24"/>
          <w:szCs w:val="24"/>
        </w:rPr>
        <w:t xml:space="preserve">проекту Национальной стратегии устойчивого развития Республики Беларусь на период до 2035 года, </w:t>
      </w:r>
      <w:r w:rsidRPr="003F12A0">
        <w:rPr>
          <w:rFonts w:eastAsia="Times New Roman"/>
          <w:b/>
          <w:iCs/>
          <w:spacing w:val="-6"/>
          <w:sz w:val="24"/>
          <w:szCs w:val="24"/>
        </w:rPr>
        <w:t>стратегической целью регионального развития</w:t>
      </w:r>
      <w:r w:rsidRPr="003F12A0">
        <w:rPr>
          <w:rFonts w:eastAsia="Times New Roman"/>
          <w:iCs/>
          <w:spacing w:val="-6"/>
          <w:sz w:val="24"/>
          <w:szCs w:val="24"/>
        </w:rPr>
        <w:t xml:space="preserve"> является</w:t>
      </w:r>
      <w:r w:rsidRPr="003F12A0">
        <w:rPr>
          <w:rFonts w:eastAsia="Times New Roman"/>
          <w:spacing w:val="-6"/>
          <w:sz w:val="24"/>
          <w:szCs w:val="24"/>
        </w:rPr>
        <w:t xml:space="preserve"> создание в регионах </w:t>
      </w:r>
      <w:r w:rsidRPr="003F12A0">
        <w:rPr>
          <w:rFonts w:eastAsia="Times New Roman"/>
          <w:spacing w:val="-6"/>
          <w:sz w:val="24"/>
          <w:szCs w:val="24"/>
        </w:rPr>
        <w:lastRenderedPageBreak/>
        <w:t>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Достижение поставленных целей и задач предусматривается по четырем направлениям.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b/>
          <w:spacing w:val="-6"/>
          <w:sz w:val="24"/>
          <w:szCs w:val="24"/>
        </w:rPr>
        <w:t>1. Комплексное развитие и рациональное размещение производительных сил.</w:t>
      </w:r>
    </w:p>
    <w:p w:rsidR="00D51F97" w:rsidRPr="003F12A0" w:rsidRDefault="00C74C2D" w:rsidP="003F12A0">
      <w:pPr>
        <w:widowControl w:val="0"/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proofErr w:type="gram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</w:t>
      </w:r>
      <w:proofErr w:type="gram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Оршанский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, Полоцкий,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Мозырский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,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Лидский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,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Борисовский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,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Солигорский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,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Молодечненский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), а также регионы перспективного строительства (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Островецкий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Глубокский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,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Жлобинский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 и Кричевский районы).</w:t>
      </w:r>
      <w:proofErr w:type="gram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C74C2D" w:rsidRPr="003F12A0" w:rsidRDefault="00C74C2D" w:rsidP="003F12A0">
      <w:pPr>
        <w:widowControl w:val="0"/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F12A0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sz w:val="24"/>
          <w:szCs w:val="24"/>
        </w:rPr>
        <w:t xml:space="preserve">формирование в городах сбалансированной, </w:t>
      </w:r>
      <w:proofErr w:type="spellStart"/>
      <w:r w:rsidRPr="003F12A0">
        <w:rPr>
          <w:rFonts w:ascii="Times New Roman" w:eastAsia="Times New Roman" w:hAnsi="Times New Roman"/>
          <w:sz w:val="24"/>
          <w:szCs w:val="24"/>
        </w:rPr>
        <w:t>низкоуглеродной</w:t>
      </w:r>
      <w:proofErr w:type="spellEnd"/>
      <w:r w:rsidRPr="003F12A0">
        <w:rPr>
          <w:rFonts w:ascii="Times New Roman" w:eastAsia="Times New Roman" w:hAnsi="Times New Roman"/>
          <w:sz w:val="24"/>
          <w:szCs w:val="24"/>
        </w:rPr>
        <w:t>, безопасной, комфортной и недорогой для потребителей транспортной системы</w:t>
      </w: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 w:rsidRPr="003F12A0">
        <w:rPr>
          <w:rFonts w:ascii="Times New Roman" w:eastAsia="Times New Roman" w:hAnsi="Times New Roman"/>
          <w:sz w:val="24"/>
          <w:szCs w:val="24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 w:rsidRPr="003F12A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3F12A0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3. Повышение устойчивости развития отстающих районов и сельских территорий. 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F12A0">
        <w:rPr>
          <w:rFonts w:ascii="Times New Roman" w:eastAsia="Times New Roman" w:hAnsi="Times New Roman"/>
          <w:spacing w:val="-6"/>
          <w:sz w:val="24"/>
          <w:szCs w:val="24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C74C2D" w:rsidRPr="003F12A0" w:rsidRDefault="00C74C2D" w:rsidP="003F12A0">
      <w:pPr>
        <w:tabs>
          <w:tab w:val="left" w:pos="993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F12A0">
        <w:rPr>
          <w:rFonts w:ascii="Times New Roman" w:eastAsia="Times New Roman" w:hAnsi="Times New Roman"/>
          <w:sz w:val="24"/>
          <w:szCs w:val="24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2A0">
        <w:rPr>
          <w:rFonts w:ascii="Times New Roman" w:eastAsia="Times New Roman" w:hAnsi="Times New Roman"/>
          <w:sz w:val="24"/>
          <w:szCs w:val="24"/>
        </w:rPr>
        <w:t xml:space="preserve">Основу повышения уровня и качества жизни сельского населения составит развитие </w:t>
      </w:r>
      <w:r w:rsidRPr="003F12A0">
        <w:rPr>
          <w:rFonts w:ascii="Times New Roman" w:eastAsia="Times New Roman" w:hAnsi="Times New Roman"/>
          <w:spacing w:val="-6"/>
          <w:sz w:val="24"/>
          <w:szCs w:val="24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3F12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F12A0">
        <w:rPr>
          <w:rFonts w:ascii="Times New Roman" w:eastAsia="Times New Roman" w:hAnsi="Times New Roman"/>
          <w:b/>
          <w:spacing w:val="-6"/>
          <w:sz w:val="24"/>
          <w:szCs w:val="24"/>
        </w:rPr>
        <w:t>4. Наращивание компетенций и потенциала саморазвития территорий.</w:t>
      </w:r>
    </w:p>
    <w:p w:rsidR="00C74C2D" w:rsidRPr="003F12A0" w:rsidRDefault="00C74C2D" w:rsidP="003F12A0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Важно сформировать </w:t>
      </w:r>
      <w:proofErr w:type="spellStart"/>
      <w:r w:rsidRPr="003F12A0">
        <w:rPr>
          <w:rFonts w:ascii="Times New Roman" w:eastAsia="Times New Roman" w:hAnsi="Times New Roman"/>
          <w:spacing w:val="-6"/>
          <w:sz w:val="24"/>
          <w:szCs w:val="24"/>
        </w:rPr>
        <w:t>инновационно</w:t>
      </w:r>
      <w:proofErr w:type="spellEnd"/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 w:rsidRPr="003F12A0">
        <w:rPr>
          <w:rFonts w:ascii="Times New Roman" w:eastAsia="Times New Roman" w:hAnsi="Times New Roman"/>
          <w:sz w:val="24"/>
          <w:szCs w:val="24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Важно </w:t>
      </w:r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создать в регионах правовые и институциональные условия </w:t>
      </w:r>
      <w:r w:rsidRPr="003F12A0">
        <w:rPr>
          <w:rFonts w:ascii="Times New Roman" w:eastAsia="Times New Roman" w:hAnsi="Times New Roman"/>
          <w:sz w:val="24"/>
          <w:szCs w:val="24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 w:rsidRPr="003F12A0">
        <w:rPr>
          <w:rFonts w:ascii="Times New Roman" w:eastAsia="Times New Roman" w:hAnsi="Times New Roman"/>
          <w:spacing w:val="-6"/>
          <w:sz w:val="24"/>
          <w:szCs w:val="24"/>
        </w:rPr>
        <w:t xml:space="preserve"> поддержки местной инициативы и сотрудничества административно-территориальных единиц. </w:t>
      </w:r>
    </w:p>
    <w:p w:rsidR="00C74C2D" w:rsidRPr="003F12A0" w:rsidRDefault="00C74C2D" w:rsidP="003F12A0">
      <w:pPr>
        <w:pStyle w:val="150"/>
        <w:ind w:left="-709" w:firstLineChars="0" w:firstLine="709"/>
        <w:rPr>
          <w:rFonts w:eastAsia="Calibri"/>
          <w:b/>
          <w:spacing w:val="-6"/>
          <w:sz w:val="24"/>
          <w:szCs w:val="24"/>
        </w:rPr>
      </w:pPr>
      <w:r w:rsidRPr="003F12A0">
        <w:rPr>
          <w:b/>
          <w:spacing w:val="-6"/>
          <w:sz w:val="24"/>
          <w:szCs w:val="24"/>
        </w:rPr>
        <w:t>Рассмотрим перспективы развития Минской области.</w:t>
      </w:r>
    </w:p>
    <w:p w:rsidR="00C74C2D" w:rsidRPr="003F12A0" w:rsidRDefault="00C74C2D" w:rsidP="003F12A0">
      <w:pPr>
        <w:tabs>
          <w:tab w:val="left" w:pos="910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/>
          <w:spacing w:val="-6"/>
          <w:sz w:val="24"/>
          <w:szCs w:val="24"/>
          <w:lang w:bidi="ru-RU"/>
        </w:rPr>
      </w:pPr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Основная цель социально-экономического развития Минской области 2020 году – повышение уровня жизни населения и формирование условий для ускоренного роста экономики в среднесрочной перспективе.</w:t>
      </w:r>
    </w:p>
    <w:p w:rsidR="00C74C2D" w:rsidRPr="003F12A0" w:rsidRDefault="00C74C2D" w:rsidP="003F12A0">
      <w:pPr>
        <w:tabs>
          <w:tab w:val="left" w:pos="910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/>
          <w:spacing w:val="-6"/>
          <w:sz w:val="24"/>
          <w:szCs w:val="24"/>
          <w:lang w:bidi="ru-RU"/>
        </w:rPr>
      </w:pPr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lastRenderedPageBreak/>
        <w:t xml:space="preserve">Для достижения поставленной цели одной из задач является создание благоприятного инвестиционного климата и обеспечение защиты интересов инвесторов с целью привлечения инвестиций. </w:t>
      </w:r>
    </w:p>
    <w:p w:rsidR="00C74C2D" w:rsidRPr="003F12A0" w:rsidRDefault="00C74C2D" w:rsidP="003F12A0">
      <w:pPr>
        <w:tabs>
          <w:tab w:val="left" w:pos="910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/>
          <w:spacing w:val="-6"/>
          <w:sz w:val="24"/>
          <w:szCs w:val="24"/>
          <w:lang w:bidi="ru-RU"/>
        </w:rPr>
      </w:pPr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Это строительство инженерной инфраструктуры Китайско-Белорусского индустриального парка «Великий Камень» (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Смолевичский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район), горно-обогатительного комплекса (ИООО «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Славкалий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»,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Любанский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район), завода по выпуску спецмашин с реконструкцией действующего производства (ОАО «АМКОДОР», Минский район), создание производства теплообменников по технологии «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Nocoloc</w:t>
      </w:r>
      <w:proofErr w:type="gram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к</w:t>
      </w:r>
      <w:proofErr w:type="spellEnd"/>
      <w:proofErr w:type="gram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» ОАО «БАТЭ» – управляющая компания холдинга «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Автокомпоненты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» (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Борисовский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район), организация производства фармацевтических субстанций и сред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культуральных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из отечественного сырья природного происхождения ЗАО «Бел Асептика» (Минский район), производства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биоудобрений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из отходов животноводства в ООО «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Интроактив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», сборочного производства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электроавтобусов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, троллейбусов и автобусов повышенной комфортности в «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Ирридио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Моторс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» (</w:t>
      </w:r>
      <w:proofErr w:type="spellStart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>Смолевичский</w:t>
      </w:r>
      <w:proofErr w:type="spellEnd"/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 район) и другие.</w:t>
      </w:r>
    </w:p>
    <w:p w:rsidR="00C74C2D" w:rsidRPr="003F12A0" w:rsidRDefault="00C74C2D" w:rsidP="003F12A0">
      <w:pPr>
        <w:widowControl w:val="0"/>
        <w:spacing w:before="120" w:after="0" w:line="280" w:lineRule="exact"/>
        <w:ind w:left="-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proofErr w:type="spellStart"/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Справочно</w:t>
      </w:r>
      <w:proofErr w:type="spellEnd"/>
      <w:r w:rsidRPr="003F12A0">
        <w:rPr>
          <w:rFonts w:ascii="Times New Roman" w:hAnsi="Times New Roman"/>
          <w:b/>
          <w:i/>
          <w:spacing w:val="-6"/>
          <w:sz w:val="24"/>
          <w:szCs w:val="24"/>
        </w:rPr>
        <w:t>.</w:t>
      </w:r>
    </w:p>
    <w:p w:rsidR="00C74C2D" w:rsidRPr="003F12A0" w:rsidRDefault="00C74C2D" w:rsidP="003F12A0">
      <w:pPr>
        <w:tabs>
          <w:tab w:val="left" w:pos="910"/>
        </w:tabs>
        <w:spacing w:after="0" w:line="280" w:lineRule="exact"/>
        <w:ind w:left="-709"/>
        <w:contextualSpacing/>
        <w:jc w:val="both"/>
        <w:rPr>
          <w:rFonts w:ascii="Times New Roman" w:hAnsi="Times New Roman"/>
          <w:i/>
          <w:spacing w:val="-6"/>
          <w:sz w:val="24"/>
          <w:szCs w:val="24"/>
          <w:lang w:bidi="ru-RU"/>
        </w:rPr>
      </w:pPr>
      <w:r w:rsidRPr="003F12A0">
        <w:rPr>
          <w:rFonts w:ascii="Times New Roman" w:hAnsi="Times New Roman"/>
          <w:i/>
          <w:spacing w:val="-6"/>
          <w:sz w:val="24"/>
          <w:szCs w:val="24"/>
          <w:lang w:bidi="ru-RU"/>
        </w:rPr>
        <w:tab/>
        <w:t xml:space="preserve">В индустриальном парке «Великий Камень» могут размещаться резиденты для реализации инвестиционных проектов по следующим направлениям: тонкая химия, биотехнологии, электроника, машиностроение, новые материалы. В настоящее время зарегистрировано 59 резидентов, в планах развития парка создание более 6 тыс. рабочих мест и рост числа резидентов до 100, привлечение более 2 </w:t>
      </w:r>
      <w:proofErr w:type="spellStart"/>
      <w:proofErr w:type="gramStart"/>
      <w:r w:rsidRPr="003F12A0">
        <w:rPr>
          <w:rFonts w:ascii="Times New Roman" w:hAnsi="Times New Roman"/>
          <w:i/>
          <w:spacing w:val="-6"/>
          <w:sz w:val="24"/>
          <w:szCs w:val="24"/>
          <w:lang w:bidi="ru-RU"/>
        </w:rPr>
        <w:t>млрд</w:t>
      </w:r>
      <w:proofErr w:type="spellEnd"/>
      <w:proofErr w:type="gramEnd"/>
      <w:r w:rsidRPr="003F12A0">
        <w:rPr>
          <w:rFonts w:ascii="Times New Roman" w:hAnsi="Times New Roman"/>
          <w:i/>
          <w:spacing w:val="-6"/>
          <w:sz w:val="24"/>
          <w:szCs w:val="24"/>
          <w:lang w:bidi="ru-RU"/>
        </w:rPr>
        <w:t>, долларов США иностранных инвестиций. Приступили к финансово-хозяйственной деятельности 20 резидентов, на стадии строительства - 7 резидентов.</w:t>
      </w:r>
    </w:p>
    <w:p w:rsidR="00C74C2D" w:rsidRPr="003F12A0" w:rsidRDefault="00C74C2D" w:rsidP="003F12A0">
      <w:pPr>
        <w:tabs>
          <w:tab w:val="left" w:pos="910"/>
        </w:tabs>
        <w:spacing w:after="0" w:line="280" w:lineRule="exact"/>
        <w:ind w:left="-709"/>
        <w:contextualSpacing/>
        <w:jc w:val="both"/>
        <w:rPr>
          <w:rFonts w:ascii="Times New Roman" w:hAnsi="Times New Roman"/>
          <w:i/>
          <w:spacing w:val="-6"/>
          <w:sz w:val="24"/>
          <w:szCs w:val="24"/>
          <w:lang w:bidi="ru-RU"/>
        </w:rPr>
      </w:pPr>
    </w:p>
    <w:p w:rsidR="00C74C2D" w:rsidRPr="003F12A0" w:rsidRDefault="00C74C2D" w:rsidP="003F12A0">
      <w:pPr>
        <w:tabs>
          <w:tab w:val="left" w:pos="910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/>
          <w:spacing w:val="-6"/>
          <w:sz w:val="24"/>
          <w:szCs w:val="24"/>
          <w:lang w:bidi="ru-RU"/>
        </w:rPr>
      </w:pPr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t xml:space="preserve">Помимо стратегически важных инвестиционных проектов на территории Минской области в текущем году осуществляется реализация </w:t>
      </w:r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br/>
        <w:t>60 основных производственных инвестиционных проектов в таких сферах как сельское хозяйство, горнодобывающая промышленность, обрабатывающая промышленность (производство продуктов питания, деревообработка, машиностроение, фармацевтика и др.), а также более</w:t>
      </w:r>
      <w:r w:rsidRPr="003F12A0">
        <w:rPr>
          <w:rFonts w:ascii="Times New Roman" w:hAnsi="Times New Roman"/>
          <w:spacing w:val="-6"/>
          <w:sz w:val="24"/>
          <w:szCs w:val="24"/>
          <w:lang w:bidi="ru-RU"/>
        </w:rPr>
        <w:br/>
        <w:t>70 проектов по созданию социальной и производственной инфраструктуры.</w:t>
      </w:r>
    </w:p>
    <w:p w:rsidR="003E6CF2" w:rsidRPr="003F12A0" w:rsidRDefault="003E6CF2" w:rsidP="003F12A0">
      <w:pPr>
        <w:spacing w:after="0" w:line="216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C74C2D" w:rsidRPr="003F12A0" w:rsidRDefault="00C74C2D" w:rsidP="003F12A0">
      <w:pPr>
        <w:spacing w:after="0" w:line="216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3F12A0">
        <w:rPr>
          <w:rFonts w:ascii="Times New Roman" w:hAnsi="Times New Roman"/>
          <w:sz w:val="24"/>
          <w:szCs w:val="24"/>
        </w:rPr>
        <w:t>***</w:t>
      </w:r>
    </w:p>
    <w:p w:rsidR="00C74C2D" w:rsidRPr="003F12A0" w:rsidRDefault="00C74C2D" w:rsidP="003F12A0">
      <w:pPr>
        <w:spacing w:after="0" w:line="23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F12A0">
        <w:rPr>
          <w:rFonts w:ascii="Times New Roman" w:hAnsi="Times New Roman"/>
          <w:sz w:val="24"/>
          <w:szCs w:val="24"/>
        </w:rPr>
        <w:t xml:space="preserve">По словам Главы государства А.Г.Лукашенко, прежде </w:t>
      </w:r>
      <w:proofErr w:type="gramStart"/>
      <w:r w:rsidRPr="003F12A0">
        <w:rPr>
          <w:rFonts w:ascii="Times New Roman" w:hAnsi="Times New Roman"/>
          <w:sz w:val="24"/>
          <w:szCs w:val="24"/>
        </w:rPr>
        <w:t>всего</w:t>
      </w:r>
      <w:proofErr w:type="gramEnd"/>
      <w:r w:rsidRPr="003F12A0">
        <w:rPr>
          <w:rFonts w:ascii="Times New Roman" w:hAnsi="Times New Roman"/>
          <w:sz w:val="24"/>
          <w:szCs w:val="24"/>
        </w:rPr>
        <w:t xml:space="preserve">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C74C2D" w:rsidRPr="003F12A0" w:rsidRDefault="00C74C2D" w:rsidP="003F12A0">
      <w:pPr>
        <w:pStyle w:val="20"/>
        <w:shd w:val="clear" w:color="auto" w:fill="auto"/>
        <w:spacing w:after="0" w:line="230" w:lineRule="auto"/>
        <w:ind w:left="-709" w:firstLine="709"/>
        <w:rPr>
          <w:rFonts w:eastAsia="Calibri"/>
          <w:spacing w:val="-6"/>
          <w:sz w:val="24"/>
          <w:szCs w:val="24"/>
        </w:rPr>
      </w:pPr>
      <w:r w:rsidRPr="003F12A0">
        <w:rPr>
          <w:spacing w:val="-6"/>
          <w:sz w:val="24"/>
          <w:szCs w:val="24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 w:rsidRPr="003F12A0">
        <w:rPr>
          <w:b/>
          <w:spacing w:val="-6"/>
          <w:sz w:val="24"/>
          <w:szCs w:val="24"/>
        </w:rPr>
        <w:t xml:space="preserve">И перед нами стоит </w:t>
      </w:r>
      <w:proofErr w:type="gramStart"/>
      <w:r w:rsidRPr="003F12A0">
        <w:rPr>
          <w:b/>
          <w:spacing w:val="-6"/>
          <w:sz w:val="24"/>
          <w:szCs w:val="24"/>
        </w:rPr>
        <w:t>задача</w:t>
      </w:r>
      <w:proofErr w:type="gramEnd"/>
      <w:r w:rsidRPr="003F12A0">
        <w:rPr>
          <w:b/>
          <w:spacing w:val="-6"/>
          <w:sz w:val="24"/>
          <w:szCs w:val="24"/>
        </w:rPr>
        <w:t xml:space="preserve"> прежде всего развить экономику регионов, чтобы были рабочие места и была зарплата для людей</w:t>
      </w:r>
      <w:r w:rsidRPr="003F12A0">
        <w:rPr>
          <w:spacing w:val="-6"/>
          <w:sz w:val="24"/>
          <w:szCs w:val="24"/>
        </w:rPr>
        <w:t xml:space="preserve">», – отметил А.Г.Лукашенко, совершая рабочую поездку по Брестской области </w:t>
      </w:r>
      <w:r w:rsidRPr="003F12A0">
        <w:rPr>
          <w:spacing w:val="-6"/>
          <w:sz w:val="24"/>
          <w:szCs w:val="24"/>
        </w:rPr>
        <w:br/>
        <w:t xml:space="preserve">в 2019 году. </w:t>
      </w:r>
    </w:p>
    <w:p w:rsidR="00C74C2D" w:rsidRPr="003F12A0" w:rsidRDefault="00C74C2D" w:rsidP="003F12A0">
      <w:pPr>
        <w:pStyle w:val="20"/>
        <w:shd w:val="clear" w:color="auto" w:fill="auto"/>
        <w:spacing w:after="0" w:line="230" w:lineRule="auto"/>
        <w:ind w:left="-709" w:firstLine="709"/>
        <w:rPr>
          <w:rFonts w:eastAsia="Calibri"/>
          <w:sz w:val="24"/>
          <w:szCs w:val="24"/>
        </w:rPr>
      </w:pPr>
      <w:r w:rsidRPr="003F12A0">
        <w:rPr>
          <w:sz w:val="24"/>
          <w:szCs w:val="24"/>
        </w:rP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 w:rsidRPr="003F12A0">
        <w:rPr>
          <w:b/>
          <w:sz w:val="24"/>
          <w:szCs w:val="24"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 w:rsidRPr="003F12A0">
        <w:rPr>
          <w:sz w:val="24"/>
          <w:szCs w:val="24"/>
        </w:rPr>
        <w:t xml:space="preserve"> и никто нас никуда не повернет – не сможет. </w:t>
      </w:r>
      <w:r w:rsidRPr="003F12A0">
        <w:rPr>
          <w:b/>
          <w:sz w:val="24"/>
          <w:szCs w:val="24"/>
        </w:rPr>
        <w:t>Поэтому главное – экономика</w:t>
      </w:r>
      <w:r w:rsidRPr="003F12A0">
        <w:rPr>
          <w:sz w:val="24"/>
          <w:szCs w:val="24"/>
        </w:rPr>
        <w:t>», – подчеркнул белорусский лидер.</w:t>
      </w:r>
    </w:p>
    <w:p w:rsidR="00CA66FD" w:rsidRPr="003F12A0" w:rsidRDefault="0052043F" w:rsidP="003F12A0">
      <w:pPr>
        <w:ind w:left="-709"/>
        <w:rPr>
          <w:rFonts w:ascii="Times New Roman" w:hAnsi="Times New Roman"/>
          <w:sz w:val="24"/>
          <w:szCs w:val="24"/>
        </w:rPr>
      </w:pPr>
    </w:p>
    <w:sectPr w:rsidR="00CA66FD" w:rsidRPr="003F12A0" w:rsidSect="003F12A0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3F" w:rsidRDefault="0052043F" w:rsidP="00C61FAA">
      <w:pPr>
        <w:spacing w:after="0" w:line="240" w:lineRule="auto"/>
      </w:pPr>
      <w:r>
        <w:separator/>
      </w:r>
    </w:p>
  </w:endnote>
  <w:endnote w:type="continuationSeparator" w:id="0">
    <w:p w:rsidR="0052043F" w:rsidRDefault="0052043F" w:rsidP="00C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3F" w:rsidRDefault="0052043F" w:rsidP="00C61FAA">
      <w:pPr>
        <w:spacing w:after="0" w:line="240" w:lineRule="auto"/>
      </w:pPr>
      <w:r>
        <w:separator/>
      </w:r>
    </w:p>
  </w:footnote>
  <w:footnote w:type="continuationSeparator" w:id="0">
    <w:p w:rsidR="0052043F" w:rsidRDefault="0052043F" w:rsidP="00C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803097"/>
      <w:docPartObj>
        <w:docPartGallery w:val="Page Numbers (Top of Page)"/>
        <w:docPartUnique/>
      </w:docPartObj>
    </w:sdtPr>
    <w:sdtContent>
      <w:p w:rsidR="007020DC" w:rsidRDefault="00C61FAA">
        <w:pPr>
          <w:pStyle w:val="a5"/>
          <w:jc w:val="center"/>
        </w:pPr>
        <w:r>
          <w:fldChar w:fldCharType="begin"/>
        </w:r>
        <w:r w:rsidR="003E6CF2">
          <w:instrText>PAGE   \* MERGEFORMAT</w:instrText>
        </w:r>
        <w:r>
          <w:fldChar w:fldCharType="separate"/>
        </w:r>
        <w:r w:rsidR="003F12A0">
          <w:rPr>
            <w:noProof/>
          </w:rPr>
          <w:t>7</w:t>
        </w:r>
        <w:r>
          <w:fldChar w:fldCharType="end"/>
        </w:r>
      </w:p>
    </w:sdtContent>
  </w:sdt>
  <w:p w:rsidR="007020DC" w:rsidRDefault="005204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2D"/>
    <w:rsid w:val="000C5A87"/>
    <w:rsid w:val="003E6CF2"/>
    <w:rsid w:val="003F12A0"/>
    <w:rsid w:val="0052043F"/>
    <w:rsid w:val="006153CB"/>
    <w:rsid w:val="007A6CFA"/>
    <w:rsid w:val="00C61FAA"/>
    <w:rsid w:val="00C74C2D"/>
    <w:rsid w:val="00D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4C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C74C2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C74C2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C74C2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74C2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C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2020-03-16T10:58:00Z</cp:lastPrinted>
  <dcterms:created xsi:type="dcterms:W3CDTF">2020-03-16T10:59:00Z</dcterms:created>
  <dcterms:modified xsi:type="dcterms:W3CDTF">2020-03-16T10:59:00Z</dcterms:modified>
</cp:coreProperties>
</file>